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544F" w:rsidRPr="0005544F" w:rsidRDefault="0005544F" w:rsidP="0005544F">
      <w:pPr>
        <w:spacing w:after="0" w:line="240" w:lineRule="auto"/>
        <w:jc w:val="both"/>
        <w:rPr>
          <w:rFonts w:ascii="Times New Roman" w:hAnsi="Times New Roman" w:cs="Times New Roman"/>
          <w:sz w:val="24"/>
          <w:szCs w:val="24"/>
        </w:rPr>
      </w:pPr>
      <w:r w:rsidRPr="0005544F">
        <w:rPr>
          <w:rFonts w:ascii="Times New Roman" w:hAnsi="Times New Roman" w:cs="Times New Roman"/>
          <w:sz w:val="24"/>
          <w:szCs w:val="24"/>
        </w:rPr>
        <w:t xml:space="preserve">LEGGE 27 dicembre 2006, n.296 (in </w:t>
      </w:r>
      <w:proofErr w:type="spellStart"/>
      <w:r w:rsidRPr="0005544F">
        <w:rPr>
          <w:rFonts w:ascii="Times New Roman" w:hAnsi="Times New Roman" w:cs="Times New Roman"/>
          <w:sz w:val="24"/>
          <w:szCs w:val="24"/>
        </w:rPr>
        <w:t>Suppl</w:t>
      </w:r>
      <w:proofErr w:type="spellEnd"/>
      <w:r w:rsidRPr="0005544F">
        <w:rPr>
          <w:rFonts w:ascii="Times New Roman" w:hAnsi="Times New Roman" w:cs="Times New Roman"/>
          <w:sz w:val="24"/>
          <w:szCs w:val="24"/>
        </w:rPr>
        <w:t xml:space="preserve">. Ordinario n. 244 alla </w:t>
      </w:r>
      <w:proofErr w:type="spellStart"/>
      <w:r w:rsidRPr="0005544F">
        <w:rPr>
          <w:rFonts w:ascii="Times New Roman" w:hAnsi="Times New Roman" w:cs="Times New Roman"/>
          <w:sz w:val="24"/>
          <w:szCs w:val="24"/>
        </w:rPr>
        <w:t>Gazz</w:t>
      </w:r>
      <w:proofErr w:type="spellEnd"/>
      <w:r w:rsidRPr="0005544F">
        <w:rPr>
          <w:rFonts w:ascii="Times New Roman" w:hAnsi="Times New Roman" w:cs="Times New Roman"/>
          <w:sz w:val="24"/>
          <w:szCs w:val="24"/>
        </w:rPr>
        <w:t>. Uff., 27 dicembre, n. 299). - Disposizioni per la formazione del bilancio an</w:t>
      </w:r>
      <w:r>
        <w:rPr>
          <w:rFonts w:ascii="Times New Roman" w:hAnsi="Times New Roman" w:cs="Times New Roman"/>
          <w:sz w:val="24"/>
          <w:szCs w:val="24"/>
        </w:rPr>
        <w:t>nuale e pluriennale dello Stato</w:t>
      </w:r>
    </w:p>
    <w:p w:rsidR="0005544F" w:rsidRDefault="0005544F" w:rsidP="0005544F">
      <w:pPr>
        <w:spacing w:after="0" w:line="240" w:lineRule="auto"/>
        <w:jc w:val="center"/>
      </w:pPr>
    </w:p>
    <w:p w:rsidR="0005544F" w:rsidRDefault="0005544F" w:rsidP="0005544F">
      <w:pPr>
        <w:spacing w:after="0" w:line="240" w:lineRule="auto"/>
        <w:jc w:val="center"/>
        <w:rPr>
          <w:rFonts w:ascii="Times New Roman" w:eastAsia="Times New Roman" w:hAnsi="Times New Roman" w:cs="Times New Roman"/>
          <w:sz w:val="24"/>
          <w:szCs w:val="24"/>
          <w:lang w:eastAsia="it-IT"/>
        </w:rPr>
      </w:pP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r w:rsidRPr="0005544F">
        <w:rPr>
          <w:rFonts w:ascii="Times New Roman" w:eastAsia="Times New Roman" w:hAnsi="Times New Roman" w:cs="Times New Roman"/>
          <w:b/>
          <w:sz w:val="24"/>
          <w:szCs w:val="24"/>
          <w:lang w:eastAsia="it-IT"/>
        </w:rPr>
        <w:t>SUL DURC</w:t>
      </w: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r w:rsidRPr="0005544F">
        <w:rPr>
          <w:rFonts w:ascii="Times New Roman" w:eastAsia="Times New Roman" w:hAnsi="Times New Roman" w:cs="Times New Roman"/>
          <w:b/>
          <w:sz w:val="24"/>
          <w:szCs w:val="24"/>
          <w:lang w:eastAsia="it-IT"/>
        </w:rPr>
        <w:t>Art. 1</w:t>
      </w: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r w:rsidRPr="0005544F">
        <w:rPr>
          <w:rFonts w:ascii="Times New Roman" w:eastAsia="Times New Roman" w:hAnsi="Times New Roman" w:cs="Times New Roman"/>
          <w:b/>
          <w:sz w:val="24"/>
          <w:szCs w:val="24"/>
          <w:lang w:eastAsia="it-IT"/>
        </w:rPr>
        <w:t>OMISSIS</w:t>
      </w: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p>
    <w:p w:rsidR="0005544F" w:rsidRPr="0005544F" w:rsidRDefault="0005544F" w:rsidP="0005544F">
      <w:pPr>
        <w:spacing w:after="0" w:line="240" w:lineRule="auto"/>
        <w:jc w:val="center"/>
        <w:rPr>
          <w:rFonts w:ascii="Times New Roman" w:eastAsia="Times New Roman" w:hAnsi="Times New Roman" w:cs="Times New Roman"/>
          <w:b/>
          <w:sz w:val="24"/>
          <w:szCs w:val="24"/>
          <w:lang w:eastAsia="it-IT"/>
        </w:rPr>
      </w:pPr>
      <w:r w:rsidRPr="0005544F">
        <w:rPr>
          <w:rFonts w:ascii="Times New Roman" w:eastAsia="Times New Roman" w:hAnsi="Times New Roman" w:cs="Times New Roman"/>
          <w:b/>
          <w:sz w:val="24"/>
          <w:szCs w:val="24"/>
          <w:lang w:eastAsia="it-IT"/>
        </w:rPr>
        <w:t>COMMA 1175</w:t>
      </w:r>
    </w:p>
    <w:p w:rsidR="0005544F" w:rsidRPr="0005544F" w:rsidRDefault="0005544F" w:rsidP="0005544F">
      <w:pPr>
        <w:spacing w:after="0" w:line="240" w:lineRule="auto"/>
        <w:rPr>
          <w:rFonts w:ascii="Times New Roman" w:eastAsia="Times New Roman" w:hAnsi="Times New Roman" w:cs="Times New Roman"/>
          <w:sz w:val="24"/>
          <w:szCs w:val="24"/>
          <w:lang w:eastAsia="it-IT"/>
        </w:rPr>
      </w:pPr>
      <w:bookmarkStart w:id="0" w:name="_GoBack"/>
      <w:r w:rsidRPr="0005544F">
        <w:rPr>
          <w:rFonts w:ascii="Times New Roman" w:eastAsia="Times New Roman" w:hAnsi="Times New Roman" w:cs="Times New Roman"/>
          <w:sz w:val="24"/>
          <w:szCs w:val="24"/>
          <w:lang w:eastAsia="it-IT"/>
        </w:rPr>
        <w:t xml:space="preserve">1175. A decorrere dal 1º luglio 2007, i benefici normativi e contributivi previsti dalla normativa in materia di lavoro e legislazione sociale sono subordinati al possesso, da parte dei datori di lavoro, del documento unico di regolarità contributiva, fermi restando gli altri obblighi di legge ed il rispetto degli accordi e contratti collettivi nazionali </w:t>
      </w:r>
      <w:proofErr w:type="spellStart"/>
      <w:r w:rsidRPr="0005544F">
        <w:rPr>
          <w:rFonts w:ascii="Times New Roman" w:eastAsia="Times New Roman" w:hAnsi="Times New Roman" w:cs="Times New Roman"/>
          <w:sz w:val="24"/>
          <w:szCs w:val="24"/>
          <w:lang w:eastAsia="it-IT"/>
        </w:rPr>
        <w:t>nonchè</w:t>
      </w:r>
      <w:proofErr w:type="spellEnd"/>
      <w:r w:rsidRPr="0005544F">
        <w:rPr>
          <w:rFonts w:ascii="Times New Roman" w:eastAsia="Times New Roman" w:hAnsi="Times New Roman" w:cs="Times New Roman"/>
          <w:sz w:val="24"/>
          <w:szCs w:val="24"/>
          <w:lang w:eastAsia="it-IT"/>
        </w:rPr>
        <w:t xml:space="preserve"> di quelli regionali, territoriali o aziendali, laddove sottoscritti, stipulati dalle organizzazioni sindacali dei datori di lavoro e dei lavoratori comparativamente </w:t>
      </w:r>
      <w:proofErr w:type="spellStart"/>
      <w:r w:rsidRPr="0005544F">
        <w:rPr>
          <w:rFonts w:ascii="Times New Roman" w:eastAsia="Times New Roman" w:hAnsi="Times New Roman" w:cs="Times New Roman"/>
          <w:sz w:val="24"/>
          <w:szCs w:val="24"/>
          <w:lang w:eastAsia="it-IT"/>
        </w:rPr>
        <w:t>piu`</w:t>
      </w:r>
      <w:proofErr w:type="spellEnd"/>
      <w:r w:rsidRPr="0005544F">
        <w:rPr>
          <w:rFonts w:ascii="Times New Roman" w:eastAsia="Times New Roman" w:hAnsi="Times New Roman" w:cs="Times New Roman"/>
          <w:sz w:val="24"/>
          <w:szCs w:val="24"/>
          <w:lang w:eastAsia="it-IT"/>
        </w:rPr>
        <w:t xml:space="preserve"> rappresentative sul piano nazionale (A) (1).</w:t>
      </w:r>
    </w:p>
    <w:p w:rsidR="0005544F" w:rsidRPr="0005544F" w:rsidRDefault="0005544F" w:rsidP="0005544F">
      <w:pPr>
        <w:spacing w:after="0" w:line="240" w:lineRule="auto"/>
        <w:rPr>
          <w:rFonts w:ascii="Times New Roman" w:eastAsia="Times New Roman" w:hAnsi="Times New Roman" w:cs="Times New Roman"/>
          <w:sz w:val="24"/>
          <w:szCs w:val="24"/>
          <w:lang w:eastAsia="it-IT"/>
        </w:rPr>
      </w:pPr>
      <w:r w:rsidRPr="0005544F">
        <w:rPr>
          <w:rFonts w:ascii="Times New Roman" w:eastAsia="Times New Roman" w:hAnsi="Times New Roman" w:cs="Times New Roman"/>
          <w:sz w:val="24"/>
          <w:szCs w:val="24"/>
          <w:lang w:eastAsia="it-IT"/>
        </w:rPr>
        <w:t>(1) Vedi l'</w:t>
      </w:r>
      <w:hyperlink r:id="rId5" w:history="1">
        <w:r w:rsidRPr="0005544F">
          <w:rPr>
            <w:rFonts w:ascii="Times New Roman" w:eastAsia="Times New Roman" w:hAnsi="Times New Roman" w:cs="Times New Roman"/>
            <w:color w:val="0000FF"/>
            <w:sz w:val="24"/>
            <w:szCs w:val="24"/>
            <w:u w:val="single"/>
            <w:lang w:eastAsia="it-IT"/>
          </w:rPr>
          <w:t>articolo 13 bis, comma 5, del D.L. 7 maggio 2012, n. 52</w:t>
        </w:r>
      </w:hyperlink>
      <w:r w:rsidRPr="0005544F">
        <w:rPr>
          <w:rFonts w:ascii="Times New Roman" w:eastAsia="Times New Roman" w:hAnsi="Times New Roman" w:cs="Times New Roman"/>
          <w:sz w:val="24"/>
          <w:szCs w:val="24"/>
          <w:lang w:eastAsia="it-IT"/>
        </w:rPr>
        <w:t>.</w:t>
      </w:r>
    </w:p>
    <w:p w:rsidR="0005544F" w:rsidRPr="0005544F" w:rsidRDefault="0005544F" w:rsidP="0005544F">
      <w:pPr>
        <w:spacing w:after="0" w:line="240" w:lineRule="auto"/>
        <w:rPr>
          <w:rFonts w:ascii="Times New Roman" w:eastAsia="Times New Roman" w:hAnsi="Times New Roman" w:cs="Times New Roman"/>
          <w:sz w:val="24"/>
          <w:szCs w:val="24"/>
          <w:lang w:eastAsia="it-IT"/>
        </w:rPr>
      </w:pPr>
      <w:r w:rsidRPr="0005544F">
        <w:rPr>
          <w:rFonts w:ascii="Times New Roman" w:eastAsia="Times New Roman" w:hAnsi="Times New Roman" w:cs="Times New Roman"/>
          <w:sz w:val="24"/>
          <w:szCs w:val="24"/>
          <w:lang w:eastAsia="it-IT"/>
        </w:rPr>
        <w:t xml:space="preserve">(A) In riferimento al presente comma vedi: </w:t>
      </w:r>
      <w:hyperlink r:id="rId6" w:history="1">
        <w:r w:rsidRPr="0005544F">
          <w:rPr>
            <w:rFonts w:ascii="Times New Roman" w:eastAsia="Times New Roman" w:hAnsi="Times New Roman" w:cs="Times New Roman"/>
            <w:color w:val="0000FF"/>
            <w:sz w:val="24"/>
            <w:szCs w:val="24"/>
            <w:u w:val="single"/>
            <w:lang w:eastAsia="it-IT"/>
          </w:rPr>
          <w:t>Circolare INPS 18 aprile 2008, n. 51</w:t>
        </w:r>
      </w:hyperlink>
      <w:r w:rsidRPr="0005544F">
        <w:rPr>
          <w:rFonts w:ascii="Times New Roman" w:eastAsia="Times New Roman" w:hAnsi="Times New Roman" w:cs="Times New Roman"/>
          <w:sz w:val="24"/>
          <w:szCs w:val="24"/>
          <w:lang w:eastAsia="it-IT"/>
        </w:rPr>
        <w:t>;</w:t>
      </w:r>
      <w:hyperlink r:id="rId7" w:history="1">
        <w:r w:rsidRPr="0005544F">
          <w:rPr>
            <w:rFonts w:ascii="Times New Roman" w:eastAsia="Times New Roman" w:hAnsi="Times New Roman" w:cs="Times New Roman"/>
            <w:color w:val="0000FF"/>
            <w:sz w:val="24"/>
            <w:szCs w:val="24"/>
            <w:u w:val="single"/>
            <w:lang w:eastAsia="it-IT"/>
          </w:rPr>
          <w:t xml:space="preserve"> Messaggio ENPALS 26 gennaio 2009, n. 2</w:t>
        </w:r>
      </w:hyperlink>
      <w:r w:rsidRPr="0005544F">
        <w:rPr>
          <w:rFonts w:ascii="Times New Roman" w:eastAsia="Times New Roman" w:hAnsi="Times New Roman" w:cs="Times New Roman"/>
          <w:sz w:val="24"/>
          <w:szCs w:val="24"/>
          <w:lang w:eastAsia="it-IT"/>
        </w:rPr>
        <w:t xml:space="preserve">; </w:t>
      </w:r>
      <w:hyperlink r:id="rId8" w:history="1">
        <w:r w:rsidRPr="0005544F">
          <w:rPr>
            <w:rFonts w:ascii="Times New Roman" w:eastAsia="Times New Roman" w:hAnsi="Times New Roman" w:cs="Times New Roman"/>
            <w:color w:val="0000FF"/>
            <w:sz w:val="24"/>
            <w:szCs w:val="24"/>
            <w:u w:val="single"/>
            <w:lang w:eastAsia="it-IT"/>
          </w:rPr>
          <w:t>Messaggio INPS 27 giugno 2013, n. 10357</w:t>
        </w:r>
      </w:hyperlink>
      <w:r w:rsidRPr="0005544F">
        <w:rPr>
          <w:rFonts w:ascii="Times New Roman" w:eastAsia="Times New Roman" w:hAnsi="Times New Roman" w:cs="Times New Roman"/>
          <w:sz w:val="24"/>
          <w:szCs w:val="24"/>
          <w:lang w:eastAsia="it-IT"/>
        </w:rPr>
        <w:t xml:space="preserve">; </w:t>
      </w:r>
      <w:hyperlink r:id="rId9" w:history="1">
        <w:r w:rsidRPr="0005544F">
          <w:rPr>
            <w:rFonts w:ascii="Times New Roman" w:eastAsia="Times New Roman" w:hAnsi="Times New Roman" w:cs="Times New Roman"/>
            <w:color w:val="0000FF"/>
            <w:sz w:val="24"/>
            <w:szCs w:val="24"/>
            <w:u w:val="single"/>
            <w:lang w:eastAsia="it-IT"/>
          </w:rPr>
          <w:t>Circolare INPS 01 agosto 2013, n. 116</w:t>
        </w:r>
      </w:hyperlink>
      <w:r w:rsidRPr="0005544F">
        <w:rPr>
          <w:rFonts w:ascii="Times New Roman" w:eastAsia="Times New Roman" w:hAnsi="Times New Roman" w:cs="Times New Roman"/>
          <w:sz w:val="24"/>
          <w:szCs w:val="24"/>
          <w:lang w:eastAsia="it-IT"/>
        </w:rPr>
        <w:t>.</w:t>
      </w:r>
    </w:p>
    <w:p w:rsidR="0005544F" w:rsidRPr="0005544F" w:rsidRDefault="0005544F" w:rsidP="0005544F">
      <w:pPr>
        <w:spacing w:after="0" w:line="240" w:lineRule="auto"/>
        <w:jc w:val="center"/>
        <w:rPr>
          <w:rFonts w:ascii="Times New Roman" w:eastAsia="Times New Roman" w:hAnsi="Times New Roman" w:cs="Times New Roman"/>
          <w:sz w:val="24"/>
          <w:szCs w:val="24"/>
          <w:lang w:eastAsia="it-IT"/>
        </w:rPr>
      </w:pPr>
      <w:r w:rsidRPr="0005544F">
        <w:rPr>
          <w:rFonts w:ascii="Times New Roman" w:eastAsia="Times New Roman" w:hAnsi="Times New Roman" w:cs="Times New Roman"/>
          <w:sz w:val="24"/>
          <w:szCs w:val="24"/>
          <w:lang w:eastAsia="it-IT"/>
        </w:rPr>
        <w:t>COMMA 1176</w:t>
      </w:r>
    </w:p>
    <w:p w:rsidR="0005544F" w:rsidRPr="0005544F" w:rsidRDefault="0005544F" w:rsidP="0005544F">
      <w:pPr>
        <w:spacing w:after="0" w:line="240" w:lineRule="auto"/>
        <w:rPr>
          <w:rFonts w:ascii="Times New Roman" w:eastAsia="Times New Roman" w:hAnsi="Times New Roman" w:cs="Times New Roman"/>
          <w:sz w:val="24"/>
          <w:szCs w:val="24"/>
          <w:lang w:eastAsia="it-IT"/>
        </w:rPr>
      </w:pPr>
      <w:r w:rsidRPr="0005544F">
        <w:rPr>
          <w:rFonts w:ascii="Times New Roman" w:eastAsia="Times New Roman" w:hAnsi="Times New Roman" w:cs="Times New Roman"/>
          <w:sz w:val="24"/>
          <w:szCs w:val="24"/>
          <w:lang w:eastAsia="it-IT"/>
        </w:rPr>
        <w:t xml:space="preserve">1176. Con decreto del Ministro del lavoro e della previdenza sociale, sentiti gli istituti previdenziali interessati e le parti sociali comparativamente </w:t>
      </w:r>
      <w:proofErr w:type="spellStart"/>
      <w:r w:rsidRPr="0005544F">
        <w:rPr>
          <w:rFonts w:ascii="Times New Roman" w:eastAsia="Times New Roman" w:hAnsi="Times New Roman" w:cs="Times New Roman"/>
          <w:sz w:val="24"/>
          <w:szCs w:val="24"/>
          <w:lang w:eastAsia="it-IT"/>
        </w:rPr>
        <w:t>piu`</w:t>
      </w:r>
      <w:proofErr w:type="spellEnd"/>
      <w:r w:rsidRPr="0005544F">
        <w:rPr>
          <w:rFonts w:ascii="Times New Roman" w:eastAsia="Times New Roman" w:hAnsi="Times New Roman" w:cs="Times New Roman"/>
          <w:sz w:val="24"/>
          <w:szCs w:val="24"/>
          <w:lang w:eastAsia="it-IT"/>
        </w:rPr>
        <w:t xml:space="preserve"> rappresentative sul piano nazionale, da emanare entro tre mesi dalla data di entrata in vigore della presente legge, sono definite le modalità di rilascio, i contenuti analitici del documento unico di regolarità contributiva di cui al comma 1175, </w:t>
      </w:r>
      <w:proofErr w:type="spellStart"/>
      <w:r w:rsidRPr="0005544F">
        <w:rPr>
          <w:rFonts w:ascii="Times New Roman" w:eastAsia="Times New Roman" w:hAnsi="Times New Roman" w:cs="Times New Roman"/>
          <w:sz w:val="24"/>
          <w:szCs w:val="24"/>
          <w:lang w:eastAsia="it-IT"/>
        </w:rPr>
        <w:t>nonchè</w:t>
      </w:r>
      <w:proofErr w:type="spellEnd"/>
      <w:r w:rsidRPr="0005544F">
        <w:rPr>
          <w:rFonts w:ascii="Times New Roman" w:eastAsia="Times New Roman" w:hAnsi="Times New Roman" w:cs="Times New Roman"/>
          <w:sz w:val="24"/>
          <w:szCs w:val="24"/>
          <w:lang w:eastAsia="it-IT"/>
        </w:rPr>
        <w:t xml:space="preserve"> le tipologie di pregresse irregolarità di natura previdenziale ed in materia di tutela delle condizioni di lavoro da non considerare ostative al rilascio del documento medesimo. In attesa dell'entrata in vigore del decreto di cui al presente comma sono fatte salve le vigenti disposizioni speciali in materia di certificazione di regolarità contributiva nei settori dell'edilizia e dell'agricoltura (A).</w:t>
      </w:r>
    </w:p>
    <w:p w:rsidR="0005544F" w:rsidRPr="0005544F" w:rsidRDefault="0005544F" w:rsidP="0005544F">
      <w:pPr>
        <w:spacing w:after="0" w:line="240" w:lineRule="auto"/>
        <w:rPr>
          <w:rFonts w:ascii="Times New Roman" w:eastAsia="Times New Roman" w:hAnsi="Times New Roman" w:cs="Times New Roman"/>
          <w:sz w:val="24"/>
          <w:szCs w:val="24"/>
          <w:lang w:eastAsia="it-IT"/>
        </w:rPr>
      </w:pPr>
      <w:r w:rsidRPr="0005544F">
        <w:rPr>
          <w:rFonts w:ascii="Times New Roman" w:eastAsia="Times New Roman" w:hAnsi="Times New Roman" w:cs="Times New Roman"/>
          <w:sz w:val="24"/>
          <w:szCs w:val="24"/>
          <w:lang w:eastAsia="it-IT"/>
        </w:rPr>
        <w:t xml:space="preserve">(A) In riferimento al presente comma vedi: </w:t>
      </w:r>
      <w:hyperlink r:id="rId10" w:history="1">
        <w:r w:rsidRPr="0005544F">
          <w:rPr>
            <w:rFonts w:ascii="Times New Roman" w:eastAsia="Times New Roman" w:hAnsi="Times New Roman" w:cs="Times New Roman"/>
            <w:color w:val="0000FF"/>
            <w:sz w:val="24"/>
            <w:szCs w:val="24"/>
            <w:u w:val="single"/>
            <w:lang w:eastAsia="it-IT"/>
          </w:rPr>
          <w:t>Circolare INPS 18 aprile 2008, n. 51</w:t>
        </w:r>
      </w:hyperlink>
      <w:r w:rsidRPr="0005544F">
        <w:rPr>
          <w:rFonts w:ascii="Times New Roman" w:eastAsia="Times New Roman" w:hAnsi="Times New Roman" w:cs="Times New Roman"/>
          <w:sz w:val="24"/>
          <w:szCs w:val="24"/>
          <w:lang w:eastAsia="it-IT"/>
        </w:rPr>
        <w:t xml:space="preserve">; </w:t>
      </w:r>
      <w:hyperlink r:id="rId11" w:history="1">
        <w:r w:rsidRPr="0005544F">
          <w:rPr>
            <w:rFonts w:ascii="Times New Roman" w:eastAsia="Times New Roman" w:hAnsi="Times New Roman" w:cs="Times New Roman"/>
            <w:color w:val="0000FF"/>
            <w:sz w:val="24"/>
            <w:szCs w:val="24"/>
            <w:u w:val="single"/>
            <w:lang w:eastAsia="it-IT"/>
          </w:rPr>
          <w:t>Messaggio ENPALS 26 gennaio 2009, n.2</w:t>
        </w:r>
      </w:hyperlink>
      <w:r w:rsidRPr="0005544F">
        <w:rPr>
          <w:rFonts w:ascii="Times New Roman" w:eastAsia="Times New Roman" w:hAnsi="Times New Roman" w:cs="Times New Roman"/>
          <w:sz w:val="24"/>
          <w:szCs w:val="24"/>
          <w:lang w:eastAsia="it-IT"/>
        </w:rPr>
        <w:t>.</w:t>
      </w:r>
    </w:p>
    <w:p w:rsidR="00D7487C" w:rsidRDefault="00D7487C"/>
    <w:p w:rsidR="0005544F" w:rsidRDefault="0005544F"/>
    <w:p w:rsidR="0005544F" w:rsidRPr="0005544F" w:rsidRDefault="0005544F" w:rsidP="0005544F">
      <w:pPr>
        <w:jc w:val="both"/>
        <w:rPr>
          <w:rFonts w:ascii="Times New Roman" w:hAnsi="Times New Roman" w:cs="Times New Roman"/>
          <w:b/>
          <w:sz w:val="24"/>
          <w:szCs w:val="24"/>
        </w:rPr>
      </w:pPr>
      <w:r w:rsidRPr="0005544F">
        <w:rPr>
          <w:rFonts w:ascii="Times New Roman" w:hAnsi="Times New Roman" w:cs="Times New Roman"/>
          <w:b/>
          <w:sz w:val="24"/>
          <w:szCs w:val="24"/>
        </w:rPr>
        <w:t xml:space="preserve">DECRETO-LEGGE 7 maggio 2012, n. 52 (in </w:t>
      </w:r>
      <w:proofErr w:type="spellStart"/>
      <w:r w:rsidRPr="0005544F">
        <w:rPr>
          <w:rFonts w:ascii="Times New Roman" w:hAnsi="Times New Roman" w:cs="Times New Roman"/>
          <w:b/>
          <w:sz w:val="24"/>
          <w:szCs w:val="24"/>
        </w:rPr>
        <w:t>Gazz</w:t>
      </w:r>
      <w:proofErr w:type="spellEnd"/>
      <w:r w:rsidRPr="0005544F">
        <w:rPr>
          <w:rFonts w:ascii="Times New Roman" w:hAnsi="Times New Roman" w:cs="Times New Roman"/>
          <w:b/>
          <w:sz w:val="24"/>
          <w:szCs w:val="24"/>
        </w:rPr>
        <w:t xml:space="preserve">. Uff., 8 maggio 2012, n. 106). - Decreto convertito, con modificazioni, in </w:t>
      </w:r>
      <w:hyperlink r:id="rId12" w:history="1">
        <w:r w:rsidRPr="0005544F">
          <w:rPr>
            <w:rStyle w:val="Collegamentoipertestuale"/>
            <w:rFonts w:ascii="Times New Roman" w:hAnsi="Times New Roman" w:cs="Times New Roman"/>
            <w:b/>
            <w:sz w:val="24"/>
            <w:szCs w:val="24"/>
          </w:rPr>
          <w:t>legge 6 luglio 2012, n. 94</w:t>
        </w:r>
      </w:hyperlink>
      <w:r w:rsidRPr="0005544F">
        <w:rPr>
          <w:rFonts w:ascii="Times New Roman" w:hAnsi="Times New Roman" w:cs="Times New Roman"/>
          <w:b/>
          <w:sz w:val="24"/>
          <w:szCs w:val="24"/>
        </w:rPr>
        <w:t xml:space="preserve"> - Disposizioni urgenti per la razionalizzazione della spesa pubblica</w:t>
      </w:r>
    </w:p>
    <w:p w:rsidR="0005544F" w:rsidRPr="0005544F" w:rsidRDefault="0005544F" w:rsidP="0005544F">
      <w:pPr>
        <w:jc w:val="center"/>
        <w:rPr>
          <w:rFonts w:ascii="Times New Roman" w:hAnsi="Times New Roman" w:cs="Times New Roman"/>
          <w:sz w:val="24"/>
          <w:szCs w:val="24"/>
        </w:rPr>
      </w:pPr>
      <w:r w:rsidRPr="0005544F">
        <w:rPr>
          <w:rFonts w:ascii="Times New Roman" w:hAnsi="Times New Roman" w:cs="Times New Roman"/>
          <w:sz w:val="24"/>
          <w:szCs w:val="24"/>
        </w:rPr>
        <w:t>ART. 13-BIS</w:t>
      </w:r>
    </w:p>
    <w:p w:rsidR="0005544F" w:rsidRPr="0005544F" w:rsidRDefault="0005544F" w:rsidP="0005544F">
      <w:pPr>
        <w:jc w:val="center"/>
        <w:rPr>
          <w:rFonts w:ascii="Times New Roman" w:hAnsi="Times New Roman" w:cs="Times New Roman"/>
          <w:sz w:val="24"/>
          <w:szCs w:val="24"/>
        </w:rPr>
      </w:pPr>
      <w:r w:rsidRPr="0005544F">
        <w:rPr>
          <w:rFonts w:ascii="Times New Roman" w:hAnsi="Times New Roman" w:cs="Times New Roman"/>
          <w:sz w:val="24"/>
          <w:szCs w:val="24"/>
        </w:rPr>
        <w:t>OMISSIS</w:t>
      </w:r>
    </w:p>
    <w:p w:rsidR="0005544F" w:rsidRDefault="0005544F" w:rsidP="0005544F">
      <w:pPr>
        <w:jc w:val="both"/>
        <w:rPr>
          <w:rFonts w:ascii="Times New Roman" w:hAnsi="Times New Roman" w:cs="Times New Roman"/>
          <w:sz w:val="24"/>
          <w:szCs w:val="24"/>
        </w:rPr>
      </w:pPr>
      <w:r w:rsidRPr="0005544F">
        <w:rPr>
          <w:rFonts w:ascii="Times New Roman" w:hAnsi="Times New Roman" w:cs="Times New Roman"/>
          <w:sz w:val="24"/>
          <w:szCs w:val="24"/>
        </w:rPr>
        <w:t xml:space="preserve">5. Il documento unico di </w:t>
      </w:r>
      <w:proofErr w:type="spellStart"/>
      <w:r w:rsidRPr="0005544F">
        <w:rPr>
          <w:rFonts w:ascii="Times New Roman" w:hAnsi="Times New Roman" w:cs="Times New Roman"/>
          <w:sz w:val="24"/>
          <w:szCs w:val="24"/>
        </w:rPr>
        <w:t>regolarita'</w:t>
      </w:r>
      <w:proofErr w:type="spellEnd"/>
      <w:r w:rsidRPr="0005544F">
        <w:rPr>
          <w:rFonts w:ascii="Times New Roman" w:hAnsi="Times New Roman" w:cs="Times New Roman"/>
          <w:sz w:val="24"/>
          <w:szCs w:val="24"/>
        </w:rPr>
        <w:t xml:space="preserve"> contributiva [di cui all'articolo 1, comma 1175, della legge 27 dicembre 2006, n. 296,] </w:t>
      </w:r>
      <w:proofErr w:type="spellStart"/>
      <w:r w:rsidRPr="0005544F">
        <w:rPr>
          <w:rFonts w:ascii="Times New Roman" w:hAnsi="Times New Roman" w:cs="Times New Roman"/>
          <w:sz w:val="24"/>
          <w:szCs w:val="24"/>
        </w:rPr>
        <w:t>e'</w:t>
      </w:r>
      <w:proofErr w:type="spellEnd"/>
      <w:r w:rsidRPr="0005544F">
        <w:rPr>
          <w:rFonts w:ascii="Times New Roman" w:hAnsi="Times New Roman" w:cs="Times New Roman"/>
          <w:sz w:val="24"/>
          <w:szCs w:val="24"/>
        </w:rPr>
        <w:t xml:space="preserve"> rilasciato anche in presenza di una certificazione, rilasciata ai sensi dell'articolo 9, comma 3-bis, del decreto-legge 29 novembre 2008, n. 185, convertito, con modificazioni, dalla legge 28 gennaio 2009, n. 2, come da ultimo modificato dal presente articolo, che attesti la sussistenza e l'importo di crediti certi, liquidi ed esigibili vantati nei confronti delle pubbliche amministrazioni di importo almeno pari agli oneri contributivi accertati e non ancora versati da parte di un medesimo soggetto. Con decreto del Ministro dell'economia e delle finanze, di concerto con il Ministro del lavoro e delle politiche sociali, da adottare entro sessanta giorni dalla data di entrata in vigore della legge di conversione del presente decreto, sono stabilite le </w:t>
      </w:r>
      <w:proofErr w:type="spellStart"/>
      <w:r w:rsidRPr="0005544F">
        <w:rPr>
          <w:rFonts w:ascii="Times New Roman" w:hAnsi="Times New Roman" w:cs="Times New Roman"/>
          <w:sz w:val="24"/>
          <w:szCs w:val="24"/>
        </w:rPr>
        <w:t>modalita'</w:t>
      </w:r>
      <w:proofErr w:type="spellEnd"/>
      <w:r w:rsidRPr="0005544F">
        <w:rPr>
          <w:rFonts w:ascii="Times New Roman" w:hAnsi="Times New Roman" w:cs="Times New Roman"/>
          <w:sz w:val="24"/>
          <w:szCs w:val="24"/>
        </w:rPr>
        <w:t xml:space="preserve"> di attuazione del presente comma, assicurando l'assenza di riflessi negativi sui saldi di finanza pubblica (2).</w:t>
      </w:r>
    </w:p>
    <w:bookmarkEnd w:id="0"/>
    <w:p w:rsidR="0005544F" w:rsidRPr="0005544F" w:rsidRDefault="0005544F" w:rsidP="0005544F">
      <w:pPr>
        <w:jc w:val="both"/>
        <w:rPr>
          <w:rFonts w:ascii="Times New Roman" w:hAnsi="Times New Roman" w:cs="Times New Roman"/>
          <w:sz w:val="24"/>
          <w:szCs w:val="24"/>
        </w:rPr>
      </w:pPr>
      <w:r>
        <w:t>(2) Comma modificato dall'</w:t>
      </w:r>
      <w:hyperlink r:id="rId13" w:history="1">
        <w:r>
          <w:rPr>
            <w:rStyle w:val="Collegamentoipertestuale"/>
          </w:rPr>
          <w:t>articolo 31, comma 1, del D.L. 21 giugno 2013, n. 69</w:t>
        </w:r>
      </w:hyperlink>
      <w:r>
        <w:t xml:space="preserve">, convertito, con modificazioni, dalla </w:t>
      </w:r>
      <w:hyperlink r:id="rId14" w:history="1">
        <w:r>
          <w:rPr>
            <w:rStyle w:val="Collegamentoipertestuale"/>
          </w:rPr>
          <w:t>Legge 9 agosto 2013, n. 98</w:t>
        </w:r>
      </w:hyperlink>
      <w:r>
        <w:t>.</w:t>
      </w:r>
    </w:p>
    <w:sectPr w:rsidR="0005544F" w:rsidRPr="0005544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7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44F"/>
    <w:rsid w:val="0005544F"/>
    <w:rsid w:val="005E3788"/>
    <w:rsid w:val="00D748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05544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05544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7608686">
      <w:bodyDiv w:val="1"/>
      <w:marLeft w:val="0"/>
      <w:marRight w:val="0"/>
      <w:marTop w:val="0"/>
      <w:marBottom w:val="0"/>
      <w:divBdr>
        <w:top w:val="none" w:sz="0" w:space="0" w:color="auto"/>
        <w:left w:val="none" w:sz="0" w:space="0" w:color="auto"/>
        <w:bottom w:val="none" w:sz="0" w:space="0" w:color="auto"/>
        <w:right w:val="none" w:sz="0" w:space="0" w:color="auto"/>
      </w:divBdr>
      <w:divsChild>
        <w:div w:id="115489959">
          <w:marLeft w:val="0"/>
          <w:marRight w:val="0"/>
          <w:marTop w:val="0"/>
          <w:marBottom w:val="0"/>
          <w:divBdr>
            <w:top w:val="none" w:sz="0" w:space="0" w:color="auto"/>
            <w:left w:val="none" w:sz="0" w:space="0" w:color="auto"/>
            <w:bottom w:val="none" w:sz="0" w:space="0" w:color="auto"/>
            <w:right w:val="none" w:sz="0" w:space="0" w:color="auto"/>
          </w:divBdr>
        </w:div>
        <w:div w:id="1585912452">
          <w:marLeft w:val="0"/>
          <w:marRight w:val="0"/>
          <w:marTop w:val="0"/>
          <w:marBottom w:val="0"/>
          <w:divBdr>
            <w:top w:val="none" w:sz="0" w:space="0" w:color="auto"/>
            <w:left w:val="none" w:sz="0" w:space="0" w:color="auto"/>
            <w:bottom w:val="none" w:sz="0" w:space="0" w:color="auto"/>
            <w:right w:val="none" w:sz="0" w:space="0" w:color="auto"/>
          </w:divBdr>
        </w:div>
        <w:div w:id="1516116641">
          <w:marLeft w:val="0"/>
          <w:marRight w:val="0"/>
          <w:marTop w:val="0"/>
          <w:marBottom w:val="0"/>
          <w:divBdr>
            <w:top w:val="none" w:sz="0" w:space="0" w:color="auto"/>
            <w:left w:val="none" w:sz="0" w:space="0" w:color="auto"/>
            <w:bottom w:val="none" w:sz="0" w:space="0" w:color="auto"/>
            <w:right w:val="none" w:sz="0" w:space="0" w:color="auto"/>
          </w:divBdr>
        </w:div>
        <w:div w:id="492138011">
          <w:marLeft w:val="0"/>
          <w:marRight w:val="0"/>
          <w:marTop w:val="0"/>
          <w:marBottom w:val="0"/>
          <w:divBdr>
            <w:top w:val="none" w:sz="0" w:space="0" w:color="auto"/>
            <w:left w:val="none" w:sz="0" w:space="0" w:color="auto"/>
            <w:bottom w:val="none" w:sz="0" w:space="0" w:color="auto"/>
            <w:right w:val="none" w:sz="0" w:space="0" w:color="auto"/>
          </w:divBdr>
        </w:div>
        <w:div w:id="5965265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Qlink('http://polu/Prassi/PRA_naviga_Q.asp?bd=PR&amp;estr=esternoLT009E00820130627000000000010357',%20false,%20'')" TargetMode="External"/><Relationship Id="rId13" Type="http://schemas.openxmlformats.org/officeDocument/2006/relationships/hyperlink" Target="javascript:Qlink('http://polu/Lex/L_showdocFTC_Q.asp?bd=LE&amp;tipo=0&amp;estr=ORIGINALDL______20130621000000000000069A0031S00C0000Z00',%20true,%20'')" TargetMode="External"/><Relationship Id="rId3" Type="http://schemas.openxmlformats.org/officeDocument/2006/relationships/settings" Target="settings.xml"/><Relationship Id="rId7" Type="http://schemas.openxmlformats.org/officeDocument/2006/relationships/hyperlink" Target="javascript:Qlink('http://polu/Prassi/PRA_naviga_Q.asp?bd=PR&amp;estr=esternoLT009E06920090126000000000000002',%20false,%20'')" TargetMode="External"/><Relationship Id="rId12" Type="http://schemas.openxmlformats.org/officeDocument/2006/relationships/hyperlink" Target="javascript:Qlink('http://polu/Lex/L_showdocFTC_Q.asp?bd=LE&amp;tipo=0&amp;estr=ORIGINALL_______20120706000000000000094',%20true,%20'')"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javascript:Qlink('http://polu/Prassi/PRA_naviga_Q.asp?bd=PR&amp;estr=esternoLT001E00820080418000000000000051',%20false,%20'')" TargetMode="External"/><Relationship Id="rId11" Type="http://schemas.openxmlformats.org/officeDocument/2006/relationships/hyperlink" Target="javascript:Qlink('http://polu/Prassi/PRA_naviga_Q.asp?bd=PR&amp;estr=esternoLT009E06920090126000000000000002',%20false,%20'')" TargetMode="External"/><Relationship Id="rId5" Type="http://schemas.openxmlformats.org/officeDocument/2006/relationships/hyperlink" Target="javascript:Qlink('http://polu/Lex/L_showdocFTC_Q.asp?bd=LE&amp;tipo=0&amp;estr=ORIGINALDL______20120507000000000000052A0013S02C0000Z00',%20true,%20'')" TargetMode="External"/><Relationship Id="rId15" Type="http://schemas.openxmlformats.org/officeDocument/2006/relationships/fontTable" Target="fontTable.xml"/><Relationship Id="rId10" Type="http://schemas.openxmlformats.org/officeDocument/2006/relationships/hyperlink" Target="javascript:Qlink('http://polu/Prassi/PRA_naviga_Q.asp?bd=PR&amp;estr=esternoLT001E00820080418000000000000051',%20false,%20'')" TargetMode="External"/><Relationship Id="rId4" Type="http://schemas.openxmlformats.org/officeDocument/2006/relationships/webSettings" Target="webSettings.xml"/><Relationship Id="rId9" Type="http://schemas.openxmlformats.org/officeDocument/2006/relationships/hyperlink" Target="javascript:Qlink('http://polu/Prassi/PRA_naviga_Q.asp?bd=PR&amp;estr=esternoLT001E00820130801000000000000116',%20false,%20'')" TargetMode="External"/><Relationship Id="rId14" Type="http://schemas.openxmlformats.org/officeDocument/2006/relationships/hyperlink" Target="javascript:Qlink('http://polu/Lex/L_showdocFTC_Q.asp?bd=LE&amp;tipo=0&amp;estr=ORIGINALL_______20130809000000000000098',%20true,%20'')"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721</Words>
  <Characters>4115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ugl2</dc:creator>
  <cp:lastModifiedBy>ugl2</cp:lastModifiedBy>
  <cp:revision>1</cp:revision>
  <dcterms:created xsi:type="dcterms:W3CDTF">2013-10-20T05:01:00Z</dcterms:created>
  <dcterms:modified xsi:type="dcterms:W3CDTF">2013-10-20T05:20:00Z</dcterms:modified>
</cp:coreProperties>
</file>